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על אילו פירות חלה קדשת שביעית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?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מועד גידול הפרי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תלמוד בבלי מסכת ראש השנה דף יב עמוד ב</w:t>
      </w:r>
      <w:r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  <w:t xml:space="preserve"> ודף יג עמוד א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אמר רב אסי אמר רבי יוחנן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ומטו בה משמיה דרבי יוסי הגלילי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אמר קרא מקץ שבע שנים במעד שנת השמטה בחג הסכות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שנת השמטה מאי עבידתיה בחג הסוכות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?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שמינית היא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!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אלא לומר לך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כל תבואה שהביאה שליש בשביעית לפני ראש השנה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אתה נוהג בו מנהג שביעית בשמינית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...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וקים להו לרבנן דכל תבואה שנקצרה בחג בידוע שהביאה שליש לפני ראש השנה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וקא קרי לה בצאת השנה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רש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י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שם</w:t>
      </w:r>
      <w:r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מאי עבידתיה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לקרות חג הסוכות שבסוף שבע שנים שנת השמיטה הרי כבר יצאה השמיטה מראש השנה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וכבר נכנסת שמינית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אלא לומר לך כו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והכי קאמר קרא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יש לך דבר שהוא של שמינית והוא אסור כשביעית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ואיזו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זו תבואה שהביאה שליש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ולקמן פריך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ממאי דבדעייל שליש קאמר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?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וקא קרי ליה בצאת השנה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שהיא משנה היוצאת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אלמא תבואה אחר שליש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righ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תלמוד בבלי מסכת סוכה דף לט עמוד א</w:t>
      </w:r>
      <w:r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  <w:t xml:space="preserve">עד דף מ עמוד א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Focus on the relevant topic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get too involved with the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issur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do business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משנה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הלוקח לולב מחבירו בשביעית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נותן לו אתרוג במתנה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לפי שאין רשאי ללוקחו בשביעית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righ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גמרא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 רצה ליתן לו במתנה מהו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?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אמר רב הונא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מבליע ליה דמי אתרוג בלולב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וליתיב ליה בהדיא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!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לפי שאין מוסרין דמי פירות שביעית לעם הארץ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דתניא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אין מוסרין דמי פירות שביעית לעם הארץ יותר ממזון שלש סעודות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ואם מסר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יאמר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הרי מעות הללו יהו מחוללין על פירות שיש לי בתוך ביתי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160" w:line="259"/>
        <w:ind w:right="0" w:left="0" w:firstLine="0"/>
        <w:jc w:val="righ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ובא ואוכלן בקדושת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במה דברים אמורים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בלוקח מן המופקר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אבל בלוקח מן המשומר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אפילו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בכחצי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איסר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אסור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righ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אי הכי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לולב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נמי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!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לולב בר ששית הנכנס לשביעית הוא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אי הכי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אתרוג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נמי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בת ששית הנכנסת לשביעית היא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!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אתרוג בתר לקיטה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אזלינן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והא בין רבן גמליאל ובין רבי אליעזר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לענין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שביעית אתרוג בתר חנטה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אזלינן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דתנן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אתרוג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שוה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לאילן בשלשה דרכים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ולירק בדרך אחד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שוה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לאילן בשלשה דרכים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לערלה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ולרבעי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ולירק בדרך אחד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שבשעת לקיטתו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עישורו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דברי רבן גמליאל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רבי אליעזר אומר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אתרוג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שוה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לאילן לכל דבר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!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הוא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דאמר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כי האי תנא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דתניא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אמר רבי יוסי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אבטולמוס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העיד משום חמשה זקנים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אתרוג אחר לקיטה למעשר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ורבותינו נמנו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באושא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ואמרו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בין למעשר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בין לשביעית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שביעית מאן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דכר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שמיה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חסורי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מיחסרא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והכי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קתני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אתרוג אחר לקיטה למעשר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ואחר חנטה לשביעית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ורבותינו נמנו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באושא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ואמרו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אתרוג בתר לקיטה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בין למעשר בין לשביעית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righ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רש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י מסכת סוכה דף לט עמוד א</w:t>
      </w:r>
      <w:r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נותן לו אתרוג במתנה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חבר שקונה הושענא כולה מעם הארץ בשביעית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יבקש ממנו ליתן לו אתרוג במתנה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לפי שאין רשאי כו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בגמרא מפרש טעמא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גמרא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מבליע ליה דמי אתרוג בלולב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ימכור לולב ביוקר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עד שיתן לו אתרוג במתנה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וליתיב ליה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דמי אתרוג בהדיא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מאי טעמא אין רשאי ללוקחו בשביעית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?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אין מוסרין דמי פירות כו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דהתורה אמרה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ויקרא כה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לאכלה ולא לסחורה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שכל פירות שביעית חייבין להתבער בשביעית הן ודמיהן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ולא שיעשה בהם סחורתו להצניע לאחר שביעית ולהעשיר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ועמי הארץ חשודין על כך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לפיכך אין מוסרין להם דמים ליקח מהם כלום בדמים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דקעבר אלפני עור לא תתן מכשול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ויקרא יט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יותר ממזון שלש סעודות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אבל מזון שלש מוסרים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כדי חייו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דאיכא למימר לסעודת שבת הוא צריך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וכיון שהותר בערב שבת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הותר לכל ימות השבת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ואם מסר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ששכח ומסר לו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יאמר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חבר זה שמסר לו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מעות הללו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שמסרתי לעם הארץ זה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וכו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וחלה עליהם קדושת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כדאמרינן לקמן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סוכה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/: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שביעית תופסת דמיה בקדושתה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מקראי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יהו מחוללין על פירות שיש לי בתוך ביתי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שאינם של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ויכנסו הפירות לקדושה תחתיהן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ובא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חבר זה ואוכל אותם הפירות בקדושת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אכילה ושתיה וסיכה והדלקת הנר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שהן הנאות המותרות בהן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כדמפרש במסכת שביעית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פרק שמיני משנה ב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במה דברים אמורים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דמזון שלש סעודות מיהא מוסרים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בלוקח מן המופקר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שראה חבר זה שנתלקטו פירות הללו בשדה המופקר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שאין עם הארץ זה שומרו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הואיל ולא ראינוהו חשוד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מותר למסור לו מעט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אבל לא הרבה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שלא תהא עינו צרה להצניען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אבל בלוקח מן המשומר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ששדה זו היתה משומרת בגדר ופתח נעול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זה נחשד לענין שאינו מפקיר לעניים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דכתיב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שמות כג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ואכלו אביוני עמך וגו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והערמה היא שמוכרן על יד על יד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אי הכי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דאין מוסרין דמי שביעית לעם הארץ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לולב נמי לא נזבין מיניה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שאף בו נוהג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וטעמא מפרש לקמן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ומשני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לולב בר ששית הנכנס לשביעית הוא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דעל כרחך בחמשה עשר יום שמראש השנה עד החג לא גדל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וקיימא לן אילן בתר חנטה אזלינן ביה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במסכת ראש השנה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יג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אתרוג בתר לקיטה אזלינן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דחלוק משאר אילנות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ודינו כירק שהלכו בו בתר לקיטה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משום דגדל על כל מים כדאמרינן בראש השנה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יד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ותבואה ואילנות גדילין על מי גשמים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ואתרוג גדל על כל מים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שמשקין אותו תמיד כירק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כדאמרינן בפרק קמא דקדושין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ג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בין לר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אליעזר בין לרבן גמליאל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דאפליגו באתרוג לענין מעשר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מודו לענין שביעית דבתר חנטה אזלינן ביה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לערלה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שנוהג בו כאילן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וכן רבעי נוהג בו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ולשביעית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דאזלינן ביה לענין שביעית בתר חנטה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שבשעת לקיטתו עישורו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שאם חנט בשנה שניה שמעשרותיה מעשר ראשון ומעשר שני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ונלקט בשלישית לשמיטה שמעשרותיה מעשר ראשון ומעשר עני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מתעשר כדין מעשר שלישית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ואילו שאר אילנות שחנטו פירותיהן בשניה ונלקטו בשלישית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מתעשרין כדין שניה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ולענין מעשר השוו אתרוג לירק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דמעשר פירות האילן וירקות דרבנן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ומעשר גורן ויקב דאורייתא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ובגורן ויקב ילפינן בראש השנה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יג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שמתעשר אחר השנה שהביאו שליש מקראי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ואסמכו רבנן מעשר דבריהם אגורן ויקב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מה גורן ויקב מיוחדים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שגדילים על רוב מים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דהיינו מי גשמים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ומתעשרין לשנה שעברה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אף כל הגדילין על רוב מים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כגון פירות האילן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מתעשרין לשנה שעברה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יצאו ירקות שגדילין על כל מים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שמתעשרים לשנה הבאה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ואתרוג נמי גדל על כל מים כירק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לכל דבר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אף למעשרות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הוא דאמר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תנא דמתניתין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דמקפיד אאתרוג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דאמר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כי האי תנא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דקתני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ורבותינו נמנו באושא ואמרו אתרוג אחר לקיטה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בין למעשר בין לשביעית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רמב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ם הלכות שמיטה ויובל פרק ד הלכה יב</w:t>
      </w:r>
      <w:r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הירק בשעת לקיטתו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והאתרוג אפילו היה כפול קודם 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 ונעשה כככר בשביעית חייב במעשרות כפירות ששית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ואפילו היה כככר בששית הואיל ונלקט בשביעית הרי הוא כפירות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ומתעשר כפירות ששית להחמיר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David" w:hAnsi="David" w:cs="David" w:eastAsia="David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4</w:t>
      </w:r>
      <w:r>
        <w:rPr>
          <w:rFonts w:ascii="David" w:hAnsi="David" w:cs="David" w:eastAsia="David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) </w:t>
      </w:r>
      <w:r>
        <w:rPr>
          <w:rFonts w:ascii="David" w:hAnsi="David" w:cs="David" w:eastAsia="David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סוג הפרי או הגידול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Narkisim" w:hAnsi="Narkisim" w:cs="Narkisim" w:eastAsia="Narkisim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משנה מסכת שביעית פרק ז משנה א</w:t>
      </w:r>
      <w:r>
        <w:rPr>
          <w:rFonts w:ascii="Narkisim" w:hAnsi="Narkisim" w:cs="Narkisim" w:eastAsia="Narkisim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</w:pP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כלל גדול אמרו בשביעית כל שהוא מאכל אדם ומאכל בהמה וממין הצובעים ואינו מתקיים בארץ יש לו שביעית ולדמיו שביעית יש לו ביעור ולדמיו ביעור 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...</w:t>
      </w:r>
    </w:p>
    <w:p>
      <w:pPr>
        <w:bidi w:val="true"/>
        <w:spacing w:before="0" w:after="0" w:line="240"/>
        <w:ind w:right="0" w:left="0" w:firstLine="0"/>
        <w:jc w:val="left"/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b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David" w:hAnsi="David" w:cs="David" w:eastAsia="David"/>
          <w:b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David" w:hAnsi="David" w:cs="David" w:eastAsia="David"/>
          <w:b/>
          <w:color w:val="000000"/>
          <w:spacing w:val="0"/>
          <w:position w:val="0"/>
          <w:sz w:val="24"/>
          <w:shd w:fill="auto" w:val="clear"/>
        </w:rPr>
        <w:t xml:space="preserve">המשך הגמ</w:t>
      </w:r>
      <w:r>
        <w:rPr>
          <w:rFonts w:ascii="David" w:hAnsi="David" w:cs="David" w:eastAsia="David"/>
          <w:b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b/>
          <w:color w:val="000000"/>
          <w:spacing w:val="0"/>
          <w:position w:val="0"/>
          <w:sz w:val="24"/>
          <w:shd w:fill="auto" w:val="clear"/>
        </w:rPr>
        <w:t xml:space="preserve">דסוכה הנ</w:t>
      </w:r>
      <w:r>
        <w:rPr>
          <w:rFonts w:ascii="David" w:hAnsi="David" w:cs="David" w:eastAsia="David"/>
          <w:b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David" w:hAnsi="David" w:cs="David" w:eastAsia="David"/>
          <w:b/>
          <w:color w:val="000000"/>
          <w:spacing w:val="0"/>
          <w:position w:val="0"/>
          <w:sz w:val="24"/>
          <w:shd w:fill="auto" w:val="clear"/>
        </w:rPr>
        <w:t xml:space="preserve">ל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טעמא דלולב בר ששית הנכנס לשביעית הוא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הא דשביעית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קדוש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אמאי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?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עצים בעלמא הוא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ועצים אין בהן משום קדושת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דתנן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) +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מסורת הש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ס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[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דתניא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]+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עלי קנים ועלי גפנים שגבבן לחובה על פני השדה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לקטן לאכילה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יש בהן משום קדושת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לקטן לעצים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אין בהן משום קדושת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!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שאני התם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דאמר קרא לכם לאכלה לכם דומיא דלאכלה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מי שהנאתו וביעורו שוה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יצאו עצים שהנאתן אחר ביעורן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והאיכא עצים דמשחן דהנאתן וביעורן שוה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!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אמר רבא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סתם עצים ולהסקה הן עומדין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righ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ועצים להסקה תנאי היא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דתניא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אין מוסרין פירות שביעית לא למשרה ולא לכבוסה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רבי יוסי אומר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מוסרין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מאי טעמא דתנא קמא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דאמר קרא לאכלה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ולא למשרה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ולא לכבוסה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מאי טעמא דרבי יוסי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אמר קרא לכם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לכם לכל צרכיכם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ואפילו למשרה ולכבוסה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ותנא קמא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הא כתיב לכם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!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ההוא לכם דומיא דלאכלה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מי שהנאתו וביעורו שוה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יצאו משרה וכבוסה שהנאתן אחר ביעורן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ורבי יוסי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הא כתיב לאכלה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! 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ההוא מיבעי ליה לאכלה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ולא למלוגמא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כדתניא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לאכלה ולא למלוגמא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אתה אומר לאכלה ולא למלוגמא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או אינו אלא ולא לכבוסה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?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כשהוא אומר לכם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הרי לכבוסה אמור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הא מה אני מקיים לאכלה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לאכלה ולא למלוגמא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מה ראית לרבות את הכבוסה ולהוציא את המלוגמא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?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מרבה אני את הכבוסה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ששוה בכל אדם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ומוציא את המלוגמא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שאינה שוה לכל אדם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מאן תנא להא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דתנו רבנן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לאכלה ולא למלוגמא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לאכלה ולא לזילוף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לאכלה ולא לעשות ממנה אפיקטויזין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כמאן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כרבי יוסי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דאי רבנן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הא איכא נמי משרה וכבוסה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רש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י מסכת סוכה דף מ</w:t>
      </w:r>
      <w:r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טעמא דלולב בר ששית כו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קושיא היא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כלומר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לעיל אמר דהיינו טעמא דלולב ניקח משום דבר ששית הוא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הא שביעית הוא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אסור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ונפקא מינה שלולבי שביעית קדושת שביעית נוהג בהו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שלא ליקח בדמיהן חלוק וטלית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שגבבן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שכינסן לאוצרן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לחובה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לשון מחבא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לקטן לאכילה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למאכל בהמה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שאני התם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גבי עצי הסקה להכי לא נוהגין בהן שביעית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דאמר קרא והיתה שבת וגו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ומשמע לכם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לכל צרכיכם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וכתיב לאכלה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למימרא דאין מותר ליהנות מפירות שביעית אלא הנאה הדומה לאכילה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שהנאתו וביעורו שוה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כלומר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שהנאתו וביעורו שמתבער מן העולם באין כאחד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כגון סיכה ושתיה והדלקת הנר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ומהך דרשה נמי ילפינן שאין שביעית נוהג אלא בפרי העומד להנאות הללו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דהכי נמי מידרש קרא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והיתה שבת הארץ נוהגת במה שלכם לאכלה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שהנאתו דומה לאכילה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יצאו עצי הסקה שהנאתן אחר ביעורן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משנעשו גחלים אופין בהן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אבל לולב עיקר הנאתו לכבד את הבית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והוא שעת ביעורו וקלקולו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ודמי להנאת אכילה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ועלי קנים וגפנים קיימי להכי ולהכי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הלכך בתר מחשבה אזלי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והא איכא עצים דמשחן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עץ שמן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שהעץ עצמו מדליקין בו להאיר כמו באבוקות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והוי הנאתו וביעורו שוה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נימא השתא מיהא אם לקטן להדלקת אורה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דנהגא בהו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ומשני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סתם עצים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של היסק להסקה ניתנו לבריות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וסתמן לאו להאי קיימו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הלכך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לא נחתא בהו קדושת שביעית מעיקרא ואפילו לקטן להאיר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הכי גרסינן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עצים דהסקה תנאי היא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ועצים דהסקה גופייהו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שהנאתן אחר ביעורן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תנאי היא אי נהגא בהו שביעית אי לא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דאיכא תנא דדריש לכם דומיא דלאכילה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למעוטי כל שהנאתו אחר ביעורו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כדדרשינן לעיל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ומההיא דרשה אימעוט עצים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ואיכא דלא ממעט מיניה אלא דבר שאין הנאתו שוה בכל אדם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כגון מלוגמא וזילוף ואפיקטויזין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...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אין מוסרין פירות שביעית לא לתוך משרה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לשרות פשתן ביין של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ולא לכבוסה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לכבוס בגדים ביין של שביעית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משרה וכבוסה הנאתן אחר ביעורן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שמשעה ששורה הבגדים או הפשתן ביין שעה אחת נתבער ואבד לו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והנאתו אינה עד שילבש הבגדים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למלוגמא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לרפואה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מרבה אני את הכבוסה ששוה בכל אדם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שהכל צריכין לה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כמו אכילה ששוה בכל אדם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מלוגמא שאינה שוה בכל אדם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שאין הכל חולין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ולא לזלף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יין שמזלפין בבית לריח טוב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אפיקטויזין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להקיא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והוא בנוטריקון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אפיק טפי זין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מזון האוכל יותר מדאי מוציא ומקיא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כמאן כר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יוסי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דלא ממעט אלא הנאה שאינה שוה בכל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והנך נמי אינם אלא לצורך חולי ואסטניס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והיינו תנאי דלעיל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דלרבנן לא נהגא שביעית אלא בדבר שהנאתו וביעורו שוה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דדרשינן ליה נמי הכי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והיתה שבת הארץ נוהגת בדבר שהוא לכם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דומיא דלאכלה שהנאתו וביעורו שוה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ולא בעצים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ור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יוסי דריש הכי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והיתה שבת הארץ נוהגת כולו שהנאתו שוה בכל אדם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ואפילו עצים להסקה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Narkisim" w:hAnsi="Narkisim" w:cs="Narkisim" w:eastAsia="Narkisim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תלמוד בבלי מסכת בבא קמא דף קא עמוד ב</w:t>
      </w:r>
      <w:r>
        <w:rPr>
          <w:rFonts w:ascii="Narkisim" w:hAnsi="Narkisim" w:cs="Narkisim" w:eastAsia="Narkisim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</w:pP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אמר קרא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לאכלה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במי שהנאתו וביעורו שוין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יצאו עצים שהנאתן אחר ביעורן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Narkisim" w:hAnsi="Narkisim" w:cs="Narkisim" w:eastAsia="Narkisim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תוספות מסכת בבא קמא דף קא עמוד ב</w:t>
      </w:r>
      <w:r>
        <w:rPr>
          <w:rFonts w:ascii="Narkisim" w:hAnsi="Narkisim" w:cs="Narkisim" w:eastAsia="Narkisim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</w:pP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שהנאתן אחר ביעורן 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-... 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אבל צבע הנאתן וביעורן שוה דהנאתן כשלובשן ואז הוא כלה ומתבער הצבע מיום אל יום </w:t>
      </w:r>
      <w:r>
        <w:rPr>
          <w:rFonts w:ascii="Narkisim" w:hAnsi="Narkisim" w:cs="Narkisim" w:eastAsia="Narkisim"/>
          <w:color w:val="000000"/>
          <w:spacing w:val="0"/>
          <w:position w:val="0"/>
          <w:sz w:val="24"/>
          <w:shd w:fill="auto" w:val="clear"/>
        </w:rPr>
        <w:t xml:space="preserve">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7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חידושי הריטב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א מסכת סוכה דף מ עמוד א</w:t>
      </w:r>
      <w:r>
        <w:rPr>
          <w:rFonts w:ascii="David" w:hAnsi="David" w:cs="David" w:eastAsia="David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ומהדרינן סתם עצים להסקה הם עומדין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פי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' 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ובתר רובא אזלינן ושרינן אפילו מיעוטי דקיימי למשחן שלא חלק הכתוב בהם</w:t>
      </w:r>
      <w:r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David" w:hAnsi="David" w:cs="David" w:eastAsia="David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